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A0" w:rsidRDefault="004F5EA0" w:rsidP="005E4EE2">
      <w:pPr>
        <w:widowControl/>
        <w:spacing w:line="338" w:lineRule="atLeast"/>
        <w:jc w:val="center"/>
        <w:rPr>
          <w:rFonts w:ascii="標楷體" w:eastAsia="標楷體" w:hAnsi="標楷體" w:cs="新細明體"/>
          <w:b/>
          <w:color w:val="4D4D4D"/>
          <w:kern w:val="0"/>
          <w:sz w:val="32"/>
          <w:szCs w:val="24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「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消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費者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保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護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研究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」投稿文件</w:t>
      </w:r>
      <w:r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審查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程序及</w:t>
      </w:r>
      <w:r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原則</w:t>
      </w:r>
    </w:p>
    <w:p w:rsidR="00AE45A3" w:rsidRPr="00350120" w:rsidRDefault="004F5EA0" w:rsidP="00887C81">
      <w:pPr>
        <w:widowControl/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壹、</w:t>
      </w:r>
      <w:r w:rsidR="00CD3BC5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第一階段</w:t>
      </w:r>
      <w:r w:rsidR="0034570E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論文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大綱審查程序</w:t>
      </w:r>
    </w:p>
    <w:p w:rsidR="004F5EA0" w:rsidRPr="00350120" w:rsidRDefault="004F5EA0" w:rsidP="00887C81">
      <w:pPr>
        <w:widowControl/>
        <w:spacing w:line="480" w:lineRule="exact"/>
        <w:ind w:leftChars="236" w:left="1132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一</w:t>
      </w:r>
      <w:r w:rsidRPr="00350120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、</w:t>
      </w:r>
      <w:r w:rsidR="0034570E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由行政院消保處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邀請外聘學者專家就投稿大綱進行</w:t>
      </w:r>
      <w:r w:rsidR="00887C81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匿名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審查</w:t>
      </w:r>
      <w:r w:rsidR="00887C81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(</w:t>
      </w:r>
      <w:r w:rsidR="002B5712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審查時不提供</w:t>
      </w:r>
      <w:r w:rsidR="00887C81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投稿者姓名等資料)，相關原則如下表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：</w:t>
      </w:r>
    </w:p>
    <w:tbl>
      <w:tblPr>
        <w:tblStyle w:val="a4"/>
        <w:tblW w:w="7371" w:type="dxa"/>
        <w:tblInd w:w="1129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350120" w:rsidRPr="00350120" w:rsidTr="00476BDE">
        <w:trPr>
          <w:trHeight w:val="517"/>
        </w:trPr>
        <w:tc>
          <w:tcPr>
            <w:tcW w:w="3119" w:type="dxa"/>
          </w:tcPr>
          <w:p w:rsidR="00A64337" w:rsidRPr="00350120" w:rsidRDefault="00A64337" w:rsidP="005E4EE2">
            <w:pPr>
              <w:widowControl/>
              <w:spacing w:line="338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shd w:val="clear" w:color="auto" w:fill="FFFFFF"/>
              </w:rPr>
              <w:t>審查原則</w:t>
            </w:r>
          </w:p>
        </w:tc>
        <w:tc>
          <w:tcPr>
            <w:tcW w:w="4252" w:type="dxa"/>
          </w:tcPr>
          <w:p w:rsidR="00A64337" w:rsidRPr="00350120" w:rsidRDefault="00A64337" w:rsidP="005E4EE2">
            <w:pPr>
              <w:widowControl/>
              <w:spacing w:line="338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shd w:val="clear" w:color="auto" w:fill="FFFFFF"/>
              </w:rPr>
              <w:t>說明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A64337" w:rsidP="00476BDE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1.大綱內容符合「徵稿啟事」規定之研究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主題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(</w:t>
            </w:r>
            <w:r w:rsidR="008178F2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4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0%)</w:t>
            </w:r>
          </w:p>
        </w:tc>
        <w:tc>
          <w:tcPr>
            <w:tcW w:w="4252" w:type="dxa"/>
          </w:tcPr>
          <w:p w:rsidR="00A64337" w:rsidRPr="00350120" w:rsidRDefault="00A64337" w:rsidP="00A64337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投稿消保研究之內容必須與「消費者保護」議題相關</w:t>
            </w:r>
            <w:r w:rsidR="006237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A64337" w:rsidP="00F01A00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2.具有</w:t>
            </w:r>
            <w:r w:rsidR="00BA0CA5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學術、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應用或實際參考價值（30%）</w:t>
            </w:r>
          </w:p>
        </w:tc>
        <w:tc>
          <w:tcPr>
            <w:tcW w:w="4252" w:type="dxa"/>
          </w:tcPr>
          <w:p w:rsidR="00A64337" w:rsidRPr="00350120" w:rsidRDefault="00A64337" w:rsidP="00A64337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消保研究發行目的係為提升學術研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究風氣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及建立相關行政業務推動之立論基礎，故投稿內容必須具有實際之參考價值，而非僅是</w:t>
            </w:r>
            <w:r w:rsidR="004F5EA0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學術研究或假設性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論談。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2B5712" w:rsidP="00F01A00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 w:rsidR="00A643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.</w:t>
            </w:r>
            <w:r w:rsidR="008178F2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是否創新、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055F5E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消費者保護</w:t>
            </w:r>
            <w:r w:rsidR="00055F5E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政策及</w:t>
            </w:r>
            <w:r w:rsidR="00055F5E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行政</w:t>
            </w:r>
            <w:r w:rsidR="00055F5E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、</w:t>
            </w:r>
            <w:r w:rsidR="00A64337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新興消費者保護議題</w:t>
            </w:r>
            <w:r w:rsidR="00F01A00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趨勢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相關性</w:t>
            </w:r>
            <w:r w:rsidR="00A643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等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(30%)</w:t>
            </w:r>
          </w:p>
        </w:tc>
        <w:tc>
          <w:tcPr>
            <w:tcW w:w="4252" w:type="dxa"/>
          </w:tcPr>
          <w:p w:rsidR="00A64337" w:rsidRPr="00350120" w:rsidRDefault="00A64337" w:rsidP="00430103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近來消保研究刊物之主題均偏向法制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與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契約相關議題之論著</w:t>
            </w:r>
            <w:r w:rsidR="005F7C3D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，考量科技發展衍生社會經濟快速變革情況，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爰</w:t>
            </w:r>
            <w:r w:rsidR="005F7C3D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鼓勵投稿人多撰擬不同類型之學術或實務論著，俾供行政機關執行消保業務參採。</w:t>
            </w:r>
          </w:p>
        </w:tc>
      </w:tr>
    </w:tbl>
    <w:p w:rsidR="005F7C3D" w:rsidRPr="00350120" w:rsidRDefault="005F7C3D" w:rsidP="00887C81">
      <w:pPr>
        <w:widowControl/>
        <w:spacing w:line="480" w:lineRule="exact"/>
        <w:ind w:leftChars="178" w:left="993" w:hangingChars="202" w:hanging="566"/>
        <w:rPr>
          <w:rFonts w:ascii="標楷體" w:eastAsia="標楷體" w:hAnsi="標楷體" w:cs="新細明體"/>
          <w:strike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二、投稿文件依上開審查原則，</w:t>
      </w:r>
      <w:r w:rsidR="002D7364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由審查人評定是否通過第一階段審查</w:t>
      </w:r>
      <w:r w:rsidR="00396733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。</w:t>
      </w:r>
    </w:p>
    <w:p w:rsidR="00E51CBA" w:rsidRPr="00350120" w:rsidRDefault="00E51CBA" w:rsidP="00887C81">
      <w:pPr>
        <w:widowControl/>
        <w:spacing w:line="480" w:lineRule="exact"/>
        <w:ind w:leftChars="178" w:left="993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三、</w:t>
      </w:r>
      <w:r w:rsidRPr="00125BB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shd w:val="clear" w:color="auto" w:fill="FFFFFF"/>
        </w:rPr>
        <w:t>同一投稿者，至多以連續刊登2期為</w:t>
      </w:r>
      <w:r w:rsidR="00C427FB" w:rsidRPr="00125BB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shd w:val="clear" w:color="auto" w:fill="FFFFFF"/>
        </w:rPr>
        <w:t>原則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，惟</w:t>
      </w:r>
      <w:r w:rsidR="00C427FB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若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主題對行政機關業務之推動具即時性或重大助益時，得</w:t>
      </w:r>
      <w:r w:rsidR="00FB4728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經審查人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衡酌</w:t>
      </w:r>
      <w:r w:rsidR="00B950CE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同意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後收納。</w:t>
      </w:r>
    </w:p>
    <w:p w:rsidR="004F5EA0" w:rsidRPr="00350120" w:rsidRDefault="004F5EA0" w:rsidP="00887C81">
      <w:pPr>
        <w:widowControl/>
        <w:spacing w:beforeLines="50" w:before="180" w:line="480" w:lineRule="exact"/>
        <w:ind w:left="566" w:hangingChars="202" w:hanging="566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貳</w:t>
      </w:r>
      <w:r w:rsidRPr="00350120">
        <w:rPr>
          <w:rFonts w:ascii="新細明體" w:eastAsia="新細明體" w:hAnsi="新細明體" w:cs="新細明體" w:hint="eastAsia"/>
          <w:b/>
          <w:kern w:val="0"/>
          <w:sz w:val="28"/>
          <w:szCs w:val="28"/>
          <w:shd w:val="clear" w:color="auto" w:fill="FFFFFF"/>
        </w:rPr>
        <w:t>、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第二階段投稿論文(全文)審查程序</w:t>
      </w:r>
    </w:p>
    <w:p w:rsidR="004F5EA0" w:rsidRPr="00125BB6" w:rsidRDefault="00887C81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一、由本刊物第一階段外聘學者專家</w:t>
      </w:r>
      <w:r w:rsidR="007951AD"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接續</w:t>
      </w: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就稿件全文進行實質內容之審查，並對投稿</w:t>
      </w:r>
      <w:r w:rsidR="007951AD"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文件</w:t>
      </w: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提出相關建議意見。</w:t>
      </w:r>
    </w:p>
    <w:p w:rsidR="00887C81" w:rsidRPr="00125BB6" w:rsidRDefault="00887C81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lastRenderedPageBreak/>
        <w:t>二</w:t>
      </w:r>
      <w:r w:rsidR="007951AD" w:rsidRPr="00125BB6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、</w:t>
      </w:r>
      <w:r w:rsidR="007951AD"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前揭外聘學者專家倘因故無法進行第二階段審查，得由本處另覓合適之人選完成審查任務。</w:t>
      </w:r>
    </w:p>
    <w:p w:rsidR="007951AD" w:rsidRPr="00125BB6" w:rsidRDefault="007951AD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三</w:t>
      </w:r>
      <w:r w:rsidRPr="00125BB6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、</w:t>
      </w:r>
      <w:r w:rsidRPr="00125BB6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投稿者應就審查委員提出之建議意見修正文稿內容，或提出相關說明後，方可收錄。</w:t>
      </w:r>
    </w:p>
    <w:sectPr w:rsidR="007951AD" w:rsidRPr="00125BB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54" w:rsidRDefault="001C3554" w:rsidP="004F5EA0">
      <w:r>
        <w:separator/>
      </w:r>
    </w:p>
  </w:endnote>
  <w:endnote w:type="continuationSeparator" w:id="0">
    <w:p w:rsidR="001C3554" w:rsidRDefault="001C3554" w:rsidP="004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173526"/>
      <w:docPartObj>
        <w:docPartGallery w:val="Page Numbers (Bottom of Page)"/>
        <w:docPartUnique/>
      </w:docPartObj>
    </w:sdtPr>
    <w:sdtEndPr/>
    <w:sdtContent>
      <w:p w:rsidR="009F1BB4" w:rsidRDefault="009F1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C7" w:rsidRPr="00160CC7">
          <w:rPr>
            <w:noProof/>
            <w:lang w:val="zh-TW"/>
          </w:rPr>
          <w:t>2</w:t>
        </w:r>
        <w:r>
          <w:fldChar w:fldCharType="end"/>
        </w:r>
      </w:p>
    </w:sdtContent>
  </w:sdt>
  <w:p w:rsidR="009F1BB4" w:rsidRDefault="009F1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54" w:rsidRDefault="001C3554" w:rsidP="004F5EA0">
      <w:r>
        <w:separator/>
      </w:r>
    </w:p>
  </w:footnote>
  <w:footnote w:type="continuationSeparator" w:id="0">
    <w:p w:rsidR="001C3554" w:rsidRDefault="001C3554" w:rsidP="004F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C2" w:rsidRPr="00F53BC2" w:rsidRDefault="00F53BC2" w:rsidP="00F53BC2">
    <w:pPr>
      <w:pStyle w:val="a5"/>
      <w:jc w:val="right"/>
      <w:rPr>
        <w:rFonts w:ascii="標楷體" w:eastAsia="標楷體" w:hAnsi="標楷體"/>
        <w:sz w:val="22"/>
        <w:szCs w:val="22"/>
      </w:rPr>
    </w:pPr>
    <w:r w:rsidRPr="00F53BC2">
      <w:rPr>
        <w:rFonts w:ascii="標楷體" w:eastAsia="標楷體" w:hAnsi="標楷體" w:hint="eastAsia"/>
        <w:sz w:val="22"/>
        <w:szCs w:val="22"/>
      </w:rPr>
      <w:t>附件三-消保研究投稿文件審查程序及原則</w:t>
    </w:r>
  </w:p>
  <w:p w:rsidR="00F53BC2" w:rsidRDefault="00F53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DE"/>
    <w:multiLevelType w:val="multilevel"/>
    <w:tmpl w:val="39D2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70F6"/>
    <w:multiLevelType w:val="multilevel"/>
    <w:tmpl w:val="C9B6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B72F5"/>
    <w:multiLevelType w:val="multilevel"/>
    <w:tmpl w:val="E8C0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A3"/>
    <w:rsid w:val="00055F5E"/>
    <w:rsid w:val="00125BB6"/>
    <w:rsid w:val="00160CC7"/>
    <w:rsid w:val="001C3554"/>
    <w:rsid w:val="002B5712"/>
    <w:rsid w:val="002D7364"/>
    <w:rsid w:val="0034570E"/>
    <w:rsid w:val="00350120"/>
    <w:rsid w:val="00396733"/>
    <w:rsid w:val="003A3992"/>
    <w:rsid w:val="00430103"/>
    <w:rsid w:val="00437383"/>
    <w:rsid w:val="00476BDE"/>
    <w:rsid w:val="004C0605"/>
    <w:rsid w:val="004F5EA0"/>
    <w:rsid w:val="00512424"/>
    <w:rsid w:val="00560E11"/>
    <w:rsid w:val="005E4EE2"/>
    <w:rsid w:val="005F7C3D"/>
    <w:rsid w:val="00623737"/>
    <w:rsid w:val="00765F81"/>
    <w:rsid w:val="007951AD"/>
    <w:rsid w:val="008178F2"/>
    <w:rsid w:val="00887C81"/>
    <w:rsid w:val="009404A8"/>
    <w:rsid w:val="009D084D"/>
    <w:rsid w:val="009F1BB4"/>
    <w:rsid w:val="00A64337"/>
    <w:rsid w:val="00AE45A3"/>
    <w:rsid w:val="00B51FDE"/>
    <w:rsid w:val="00B84198"/>
    <w:rsid w:val="00B950CE"/>
    <w:rsid w:val="00BA0CA5"/>
    <w:rsid w:val="00C427FB"/>
    <w:rsid w:val="00CD3BC5"/>
    <w:rsid w:val="00D4590D"/>
    <w:rsid w:val="00DD35FE"/>
    <w:rsid w:val="00E51CBA"/>
    <w:rsid w:val="00F01A00"/>
    <w:rsid w:val="00F53BC2"/>
    <w:rsid w:val="00FB4728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5"/>
    <w:pPr>
      <w:ind w:leftChars="200" w:left="480"/>
    </w:pPr>
  </w:style>
  <w:style w:type="table" w:styleId="a4">
    <w:name w:val="Table Grid"/>
    <w:basedOn w:val="a1"/>
    <w:uiPriority w:val="39"/>
    <w:rsid w:val="00A6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E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5E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5"/>
    <w:pPr>
      <w:ind w:leftChars="200" w:left="480"/>
    </w:pPr>
  </w:style>
  <w:style w:type="table" w:styleId="a4">
    <w:name w:val="Table Grid"/>
    <w:basedOn w:val="a1"/>
    <w:uiPriority w:val="39"/>
    <w:rsid w:val="00A6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E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5E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邱琦閔</dc:creator>
  <cp:lastModifiedBy>user</cp:lastModifiedBy>
  <cp:revision>2</cp:revision>
  <dcterms:created xsi:type="dcterms:W3CDTF">2020-06-18T01:32:00Z</dcterms:created>
  <dcterms:modified xsi:type="dcterms:W3CDTF">2020-06-18T01:32:00Z</dcterms:modified>
</cp:coreProperties>
</file>